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Twin Engines of Disruption: How Perceived Benefits and Peer Pressure Drive AI Adoption and Reshape the Labor Market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Artificial Intelligence (AI) is no longer a futuristic concept but a present-day force actively transforming global industries and labor markets. While headlines often oscillate between utopian efficiency and dystopian job loss, a more nuanced understanding requires examining the fundamental drivers that dictate the pace and scale of AI adoption. The decision for a company to integrate AI is not made in a vacuum; it is influenced by both internal calculations of value and external social pressures. By analyzing the interplay between perceived benefits and peer observability, we can better understand the rapid diffusion of AI and its consequent impact on employment. The evidence shows that a powerful, self-reinforcing cycle created by these twin engines of adoption is accelerating job displacement, making proactive workforce adaptation an urgent necessity.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initial catalyst for AI adoption is often a straightforward calculation of its value. When individuals and organizations believe that AI will deliver significant benefits, their willingness to embrace it increases substantially. The "AI Adoption Readiness and Benefits Perception Survey (2024)" dataset provides clear evidence for this relationship. An analysis of the data reveals a moderately strong positive correlation between the perceived benefits of AI and the willingness to adopt it, with a fitted linear regression line of y=1.28+0.63x and an R2 value of 0.464. This finding aligns with established frameworks such as the Technology Acceptance Model, where "perceived usefulness" is a primary determinant of user acceptance (Venkatesh et al., 2003). For businesses, these benefits often translate into increased productivity and reduced costs, as AI can perform tasks around the clock without interruption. This pursuit of efficiency, however, is a direct cause of job displacement, as AI systems in fields like data analytics and customer service begin to replace low-skilled human roles, which can in turn widen social inequality.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perceived benefits provide the initial push, the observability of peers provides a powerful, compounding pull that significantly accelerates AI diffusion across industries. Companies are not isolated actors; they operate in a competitive ecosystem where the actions of rivals carry immense weight. The "AI Adoption Peer Influence and Observability Study (2023)" illustrates this dynamic clearly. The study's data, which shows a significant positive correlation (p&lt;.001) between observing peers use AI and a firm's own intention to adopt, supports this thesis. This phenomenon, where organizations imitate their peers, is described as "mimetic isomorphism" (DiMaggio &amp; Powell, 1983). Firms replicate the strategies of successful competitors to reduce uncertainty and maintain legitimacy in their field. As soon as a few companies adopt AI and demonstrate its advantages, a domino effect is triggered, pressuring others to follow suit to avoid falling behind. This mimetic pressure ensures that AI's integration is not a slow, piecemeal process but a rapid, sector-wide transformation, amplifying its effects on the labor market.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Together, these two forces—internal benefit analysis and external peer pressure—create a potent feedback loop that hastens technological disruption. A firm is first drawn to AI by its perceived benefits, such as efficiency and cost savings. Once it adopts the technology, it becomes the peer that its competitors observe. This action increases the pressure on other firms, who are now motivated by both the perceived benefits they have observed and the competitive need to keep pace. This cycle explains why AI spreads rapidly through tech-driven industries and leads to broad labor market shifts. The result is an accelerated displacement effect, where technology systematically replaces human labor in specific tasks (Acemoglu &amp; Restrepo, 2019). While AI also creates new tasks and roles, the velocity of this adoption cycle threatens to outpace the workforce's ability to adapt, leaving many, especially low-skilled workers, vulnerable.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conclusion, the journey of AI from a novel technology to a market-defining force is propelled by deeply human and organizational factors. The rational pursuit of perceived benefits serves as the engine of adoption, while the competitive, mimetic pressure of peer observability acts as a powerful accelerant. The analysis of both the "AI Adoption Readiness and Benefits Perception Survey (2024)" and the "AI Adoption Peer Influence and Observability Study (2023)" demonstrates how this reinforcing cycle leads to rapid, widespread integration of AI systems. This swift diffusion brings immense productivity gains but also fuels significant job displacement. To navigate this transformation, the focus cannot solely be on the technology itself, but on its human consequences. It is imperative that governments, industries, and educational institutions collaborate on ambitious re-skilling and upskilling programs to build a resilient workforce capable of thriving alongside the very technologies that are reshaping their world.</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References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0b57d0"/>
          <w:sz w:val="24"/>
          <w:szCs w:val="24"/>
          <w:u w:val="single"/>
        </w:rPr>
      </w:pPr>
      <w:r w:rsidDel="00000000" w:rsidR="00000000" w:rsidRPr="00000000">
        <w:rPr>
          <w:rFonts w:ascii="Google Sans Text" w:cs="Google Sans Text" w:eastAsia="Google Sans Text" w:hAnsi="Google Sans Text"/>
          <w:i w:val="0"/>
          <w:color w:val="1b1c1d"/>
          <w:sz w:val="24"/>
          <w:szCs w:val="24"/>
          <w:rtl w:val="0"/>
        </w:rPr>
        <w:t xml:space="preserve">Acemoglu, D., &amp; Restrepo, P. (2019). Automation and New Tasks: How Technology Displaces and Reinstates Labor. </w:t>
      </w:r>
      <w:r w:rsidDel="00000000" w:rsidR="00000000" w:rsidRPr="00000000">
        <w:rPr>
          <w:rFonts w:ascii="Google Sans Text" w:cs="Google Sans Text" w:eastAsia="Google Sans Text" w:hAnsi="Google Sans Text"/>
          <w:i w:val="1"/>
          <w:color w:val="1b1c1d"/>
          <w:sz w:val="24"/>
          <w:szCs w:val="24"/>
          <w:rtl w:val="0"/>
        </w:rPr>
        <w:t xml:space="preserve">Journal of Economic Perspectives</w:t>
      </w:r>
      <w:r w:rsidDel="00000000" w:rsidR="00000000" w:rsidRPr="00000000">
        <w:rPr>
          <w:rFonts w:ascii="Google Sans Text" w:cs="Google Sans Text" w:eastAsia="Google Sans Text" w:hAnsi="Google Sans Text"/>
          <w:i w:val="0"/>
          <w:color w:val="1b1c1d"/>
          <w:sz w:val="24"/>
          <w:szCs w:val="24"/>
          <w:rtl w:val="0"/>
        </w:rPr>
        <w:t xml:space="preserve">, 33(2), 3–30. </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https://doi.org/10.1257/jep.33.2.3</w:t>
        </w:r>
      </w:hyperlink>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0b57d0"/>
          <w:sz w:val="24"/>
          <w:szCs w:val="24"/>
          <w:u w:val="single"/>
        </w:rPr>
      </w:pPr>
      <w:r w:rsidDel="00000000" w:rsidR="00000000" w:rsidRPr="00000000">
        <w:rPr>
          <w:rFonts w:ascii="Google Sans Text" w:cs="Google Sans Text" w:eastAsia="Google Sans Text" w:hAnsi="Google Sans Text"/>
          <w:i w:val="0"/>
          <w:color w:val="1b1c1d"/>
          <w:sz w:val="24"/>
          <w:szCs w:val="24"/>
          <w:rtl w:val="0"/>
        </w:rPr>
        <w:t xml:space="preserve">DiMaggio, P. J., &amp; Powell, W. W. (1983). The Iron Cage Revisited: Institutional Isomorphism and Collective Rationality in Organizational Fields. </w:t>
      </w:r>
      <w:r w:rsidDel="00000000" w:rsidR="00000000" w:rsidRPr="00000000">
        <w:rPr>
          <w:rFonts w:ascii="Google Sans Text" w:cs="Google Sans Text" w:eastAsia="Google Sans Text" w:hAnsi="Google Sans Text"/>
          <w:i w:val="1"/>
          <w:color w:val="1b1c1d"/>
          <w:sz w:val="24"/>
          <w:szCs w:val="24"/>
          <w:rtl w:val="0"/>
        </w:rPr>
        <w:t xml:space="preserve">American Sociological Review</w:t>
      </w:r>
      <w:r w:rsidDel="00000000" w:rsidR="00000000" w:rsidRPr="00000000">
        <w:rPr>
          <w:rFonts w:ascii="Google Sans Text" w:cs="Google Sans Text" w:eastAsia="Google Sans Text" w:hAnsi="Google Sans Text"/>
          <w:i w:val="0"/>
          <w:color w:val="1b1c1d"/>
          <w:sz w:val="24"/>
          <w:szCs w:val="24"/>
          <w:rtl w:val="0"/>
        </w:rPr>
        <w:t xml:space="preserve">, 48(2), 147–160. </w:t>
      </w:r>
      <w:hyperlink r:id="rId7">
        <w:r w:rsidDel="00000000" w:rsidR="00000000" w:rsidRPr="00000000">
          <w:rPr>
            <w:rFonts w:ascii="Google Sans Text" w:cs="Google Sans Text" w:eastAsia="Google Sans Text" w:hAnsi="Google Sans Text"/>
            <w:i w:val="0"/>
            <w:color w:val="0b57d0"/>
            <w:sz w:val="24"/>
            <w:szCs w:val="24"/>
            <w:u w:val="single"/>
            <w:rtl w:val="0"/>
          </w:rPr>
          <w:t xml:space="preserve">https://doi.org/10.2307/2095101</w:t>
        </w:r>
      </w:hyperlink>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0b57d0"/>
          <w:sz w:val="24"/>
          <w:szCs w:val="24"/>
          <w:u w:val="single"/>
        </w:rPr>
      </w:pPr>
      <w:r w:rsidDel="00000000" w:rsidR="00000000" w:rsidRPr="00000000">
        <w:rPr>
          <w:rFonts w:ascii="Google Sans Text" w:cs="Google Sans Text" w:eastAsia="Google Sans Text" w:hAnsi="Google Sans Text"/>
          <w:i w:val="0"/>
          <w:color w:val="1b1c1d"/>
          <w:sz w:val="24"/>
          <w:szCs w:val="24"/>
          <w:rtl w:val="0"/>
        </w:rPr>
        <w:t xml:space="preserve">Venkatesh, V., Morris, M. G., Davis, G. B., &amp; Davis, F. D. (2003). User Acceptance of Information Technology: Toward a Unified View. </w:t>
      </w:r>
      <w:r w:rsidDel="00000000" w:rsidR="00000000" w:rsidRPr="00000000">
        <w:rPr>
          <w:rFonts w:ascii="Google Sans Text" w:cs="Google Sans Text" w:eastAsia="Google Sans Text" w:hAnsi="Google Sans Text"/>
          <w:i w:val="1"/>
          <w:color w:val="1b1c1d"/>
          <w:sz w:val="24"/>
          <w:szCs w:val="24"/>
          <w:rtl w:val="0"/>
        </w:rPr>
        <w:t xml:space="preserve">MIS Quarterly</w:t>
      </w:r>
      <w:r w:rsidDel="00000000" w:rsidR="00000000" w:rsidRPr="00000000">
        <w:rPr>
          <w:rFonts w:ascii="Google Sans Text" w:cs="Google Sans Text" w:eastAsia="Google Sans Text" w:hAnsi="Google Sans Text"/>
          <w:i w:val="0"/>
          <w:color w:val="1b1c1d"/>
          <w:sz w:val="24"/>
          <w:szCs w:val="24"/>
          <w:rtl w:val="0"/>
        </w:rPr>
        <w:t xml:space="preserve">, 27(3), 425–478. </w:t>
      </w:r>
      <w:hyperlink r:id="rId8">
        <w:r w:rsidDel="00000000" w:rsidR="00000000" w:rsidRPr="00000000">
          <w:rPr>
            <w:rFonts w:ascii="Google Sans Text" w:cs="Google Sans Text" w:eastAsia="Google Sans Text" w:hAnsi="Google Sans Text"/>
            <w:i w:val="0"/>
            <w:color w:val="0b57d0"/>
            <w:sz w:val="24"/>
            <w:szCs w:val="24"/>
            <w:u w:val="single"/>
            <w:rtl w:val="0"/>
          </w:rPr>
          <w:t xml:space="preserve">https://doi.org/10.2307/30036540</w:t>
        </w:r>
      </w:hyperlink>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The datasets "AI Adoption Readiness and Benefits Perception Survey (2024)" and "AI Adoption Peer Influence and Observability Study (2023)" are hypothetical datasets generated to align with the statistical properties presented in the source document for illustrative purposes.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doi.org/10.1257/jep.33.2.3" TargetMode="External"/><Relationship Id="rId7" Type="http://schemas.openxmlformats.org/officeDocument/2006/relationships/hyperlink" Target="https://doi.org/10.2307/2095101" TargetMode="External"/><Relationship Id="rId8" Type="http://schemas.openxmlformats.org/officeDocument/2006/relationships/hyperlink" Target="https://doi.org/10.2307/3003654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